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ind/>
        <w:jc w:val="both"/>
      </w:pPr>
    </w:p>
    <w:p w14:paraId="03000000">
      <w:pPr>
        <w:ind/>
        <w:jc w:val="both"/>
      </w:pPr>
    </w:p>
    <w:p w14:paraId="04000000">
      <w:pPr>
        <w:ind/>
        <w:jc w:val="both"/>
      </w:pPr>
    </w:p>
    <w:p w14:paraId="05000000">
      <w:pPr>
        <w:ind/>
        <w:jc w:val="both"/>
      </w:pPr>
    </w:p>
    <w:p w14:paraId="06000000">
      <w:pPr>
        <w:ind/>
        <w:jc w:val="both"/>
      </w:pPr>
    </w:p>
    <w:p w14:paraId="07000000">
      <w:pPr>
        <w:ind/>
        <w:jc w:val="both"/>
      </w:pPr>
    </w:p>
    <w:p w14:paraId="08000000">
      <w:pPr>
        <w:ind/>
        <w:jc w:val="both"/>
      </w:pPr>
    </w:p>
    <w:p w14:paraId="09000000">
      <w:pPr>
        <w:ind/>
        <w:jc w:val="both"/>
      </w:pPr>
      <w:r>
        <w:drawing>
          <wp:inline>
            <wp:extent cx="5104765" cy="786320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33984" l="10847" r="6762" t="18638"/>
                    <a:stretch/>
                  </pic:blipFill>
                  <pic:spPr>
                    <a:xfrm flipH="false" flipV="false" rot="0">
                      <a:ext cx="5104765" cy="78632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ind/>
        <w:jc w:val="both"/>
      </w:pPr>
    </w:p>
    <w:p w14:paraId="0B000000">
      <w:pPr>
        <w:ind/>
        <w:jc w:val="both"/>
      </w:pPr>
    </w:p>
    <w:p w14:paraId="0C000000">
      <w:pPr>
        <w:ind/>
        <w:jc w:val="both"/>
      </w:pPr>
    </w:p>
    <w:p w14:paraId="0D000000">
      <w:pPr>
        <w:ind/>
        <w:jc w:val="both"/>
      </w:pPr>
    </w:p>
    <w:p w14:paraId="0E000000">
      <w:pPr>
        <w:tabs>
          <w:tab w:leader="none" w:pos="540" w:val="left"/>
          <w:tab w:leader="none" w:pos="4677" w:val="center"/>
        </w:tabs>
        <w:ind w:firstLine="0" w:left="720"/>
        <w:jc w:val="both"/>
      </w:pPr>
      <w:bookmarkStart w:id="1" w:name="_GoBack"/>
      <w:bookmarkEnd w:id="1"/>
      <w:r>
        <w:rPr>
          <w:rFonts w:ascii="Times New Roman" w:hAnsi="Times New Roman"/>
          <w:b w:val="1"/>
        </w:rPr>
        <w:t>I</w:t>
      </w:r>
      <w:r>
        <w:rPr>
          <w:rFonts w:ascii="Times New Roman" w:hAnsi="Times New Roman"/>
          <w:b w:val="1"/>
        </w:rPr>
        <w:t>. Содержание учебного предмета, курса, учебного модуля</w:t>
      </w:r>
    </w:p>
    <w:p w14:paraId="0F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  <w:r>
        <w:rPr>
          <w:b w:val="1"/>
          <w:u w:val="none"/>
        </w:rPr>
        <w:t>1.</w:t>
      </w:r>
      <w:r>
        <w:rPr>
          <w:u w:val="none"/>
        </w:rPr>
        <w:t>Слово. От слова к тексту.</w:t>
      </w:r>
    </w:p>
    <w:p w14:paraId="10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b w:val="1"/>
          <w:u w:val="none"/>
        </w:rPr>
      </w:pPr>
    </w:p>
    <w:p w14:paraId="11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b w:val="1"/>
          <w:u w:val="none"/>
        </w:rPr>
      </w:pPr>
      <w:r>
        <w:rPr>
          <w:b w:val="1"/>
          <w:u w:val="none"/>
        </w:rPr>
        <w:t xml:space="preserve">2. Основные признаки текста </w:t>
      </w:r>
    </w:p>
    <w:p w14:paraId="12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  <w:r>
        <w:rPr>
          <w:u w:val="none"/>
        </w:rPr>
        <w:t>Тема текста, основная мысль. Микротема. Абзац. Тематическое и композиционное   единство частей текста. Грамматическая связь между частями текста. Стилевое единство текста. Основные признаки научного, официально-делового, разговорного, публицистического и художественного стиля речи.</w:t>
      </w:r>
    </w:p>
    <w:p w14:paraId="13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</w:p>
    <w:p w14:paraId="14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b w:val="1"/>
          <w:u w:val="none"/>
        </w:rPr>
      </w:pPr>
      <w:r>
        <w:rPr>
          <w:b w:val="1"/>
          <w:u w:val="none"/>
        </w:rPr>
        <w:t>3. Стилистические возможности языковых средств</w:t>
      </w:r>
    </w:p>
    <w:p w14:paraId="15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  <w:r>
        <w:rPr>
          <w:u w:val="none"/>
        </w:rPr>
        <w:t>Лексические средства языка. Однозначные и многозначные слова. Омонимы, синонимы, антонимы, паронимы. Архаизмы, историзмы, неологизмы. Общеупотребительные, диалектные и заимствованные слова. Профессиональные и жаргонные слова. Поэтическая лексика. Фразеология и крылатые слова.</w:t>
      </w:r>
    </w:p>
    <w:p w14:paraId="16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</w:p>
    <w:p w14:paraId="17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b w:val="1"/>
          <w:u w:val="none"/>
        </w:rPr>
      </w:pPr>
      <w:r>
        <w:rPr>
          <w:b w:val="1"/>
          <w:u w:val="none"/>
        </w:rPr>
        <w:t xml:space="preserve">4. Типы речи </w:t>
      </w:r>
    </w:p>
    <w:p w14:paraId="18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  <w:r>
        <w:rPr>
          <w:u w:val="none"/>
        </w:rPr>
        <w:t>Повествование, описание, рассуждения, их строение.</w:t>
      </w:r>
    </w:p>
    <w:p w14:paraId="19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</w:p>
    <w:p w14:paraId="1A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b w:val="1"/>
          <w:u w:val="none"/>
        </w:rPr>
      </w:pPr>
      <w:r>
        <w:rPr>
          <w:b w:val="1"/>
          <w:u w:val="none"/>
        </w:rPr>
        <w:t xml:space="preserve">5. Словесные изобразительно-выразительные средства </w:t>
      </w:r>
    </w:p>
    <w:p w14:paraId="1B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  <w:r>
        <w:rPr>
          <w:u w:val="none"/>
        </w:rPr>
        <w:t>Тропы. Стилистические фигуры. Звуковые изобразительно-выразительные средства. Словесно-звуковые изобразительно-выразительные средства. Ритм и интонация в прозе и стихах.</w:t>
      </w:r>
    </w:p>
    <w:p w14:paraId="1C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</w:p>
    <w:p w14:paraId="1D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b w:val="1"/>
          <w:u w:val="none"/>
        </w:rPr>
      </w:pPr>
      <w:r>
        <w:rPr>
          <w:b w:val="1"/>
          <w:u w:val="none"/>
        </w:rPr>
        <w:t>6.</w:t>
      </w:r>
      <w:r>
        <w:rPr>
          <w:u w:val="none"/>
        </w:rPr>
        <w:t xml:space="preserve"> </w:t>
      </w:r>
      <w:r>
        <w:rPr>
          <w:b w:val="1"/>
          <w:u w:val="none"/>
        </w:rPr>
        <w:t xml:space="preserve">Практическая работа </w:t>
      </w:r>
    </w:p>
    <w:p w14:paraId="1E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u w:val="none"/>
        </w:rPr>
      </w:pPr>
      <w:r>
        <w:rPr>
          <w:u w:val="none"/>
        </w:rPr>
        <w:t>Комплексный анализ текста.</w:t>
      </w:r>
    </w:p>
    <w:p w14:paraId="1F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sz w:val="28"/>
          <w:u w:val="none"/>
        </w:rPr>
      </w:pPr>
    </w:p>
    <w:p w14:paraId="20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Воспитательный потенциал  реализуется через:</w:t>
      </w:r>
    </w:p>
    <w:p w14:paraId="21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14:paraId="22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14:paraId="23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b w:val="0"/>
          <w:sz w:val="28"/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14:paraId="24000000">
      <w:pPr>
        <w:ind/>
        <w:jc w:val="both"/>
        <w:rPr>
          <w:u w:val="none"/>
        </w:rPr>
      </w:pPr>
      <w:r>
        <w:rPr>
          <w:rFonts w:ascii="Times New Roman" w:hAnsi="Times New Roman"/>
          <w:b w:val="0"/>
          <w:sz w:val="28"/>
          <w:u w:val="none"/>
        </w:rPr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</w:t>
      </w:r>
      <w:r>
        <w:rPr>
          <w:rFonts w:ascii="Times New Roman" w:hAnsi="Times New Roman"/>
          <w:b w:val="1"/>
        </w:rPr>
        <w:t xml:space="preserve"> </w:t>
      </w:r>
      <w:r>
        <w:rPr>
          <w:u w:val="none"/>
        </w:rPr>
        <w:t>текстов для чтения, задач для решения, проблемных ситуаций для обсуждения в классе;</w:t>
      </w:r>
    </w:p>
    <w:p w14:paraId="25000000">
      <w:pPr>
        <w:ind/>
        <w:jc w:val="both"/>
        <w:rPr>
          <w:u w:val="none"/>
        </w:rPr>
      </w:pPr>
      <w:r>
        <w:rPr>
          <w:u w:val="none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</w:p>
    <w:p w14:paraId="26000000">
      <w:pPr>
        <w:ind/>
        <w:jc w:val="both"/>
        <w:rPr>
          <w:u w:val="none"/>
        </w:rPr>
      </w:pPr>
      <w:r>
        <w:rPr>
          <w:u w:val="none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14:paraId="27000000">
      <w:pPr>
        <w:ind/>
        <w:jc w:val="both"/>
        <w:rPr>
          <w:u w:val="none"/>
        </w:rPr>
      </w:pPr>
      <w:r>
        <w:rPr>
          <w:u w:val="none"/>
        </w:rPr>
        <w:t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14:paraId="28000000">
      <w:pPr>
        <w:ind/>
        <w:jc w:val="both"/>
        <w:rPr>
          <w:u w:val="none"/>
        </w:rPr>
      </w:pPr>
      <w:r>
        <w:rPr>
          <w:u w:val="none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29000000">
      <w:pPr>
        <w:ind/>
        <w:jc w:val="both"/>
        <w:rPr>
          <w:u w:val="none"/>
        </w:rPr>
      </w:pPr>
    </w:p>
    <w:p w14:paraId="2A000000">
      <w:pPr>
        <w:ind/>
        <w:jc w:val="both"/>
        <w:rPr>
          <w:u w:val="none"/>
        </w:rPr>
      </w:pPr>
    </w:p>
    <w:p w14:paraId="2B000000">
      <w:pPr>
        <w:spacing w:after="0" w:before="0" w:line="264" w:lineRule="auto"/>
        <w:ind w:firstLine="0" w:left="120"/>
        <w:jc w:val="both"/>
        <w:rPr>
          <w:rFonts w:ascii="Times New Roman" w:hAnsi="Times New Roman"/>
          <w:b w:val="1"/>
          <w:color w:val="000000"/>
          <w:sz w:val="28"/>
        </w:rPr>
      </w:pPr>
      <w:bookmarkStart w:id="2" w:name="block-35674956"/>
    </w:p>
    <w:p w14:paraId="2C000000">
      <w:pPr>
        <w:ind w:firstLine="567" w:right="180"/>
        <w:rPr>
          <w:rFonts w:ascii="Times New Roman" w:hAnsi="Times New Roman"/>
        </w:rPr>
      </w:pPr>
      <w:r>
        <w:rPr>
          <w:rFonts w:ascii="Times New Roman" w:hAnsi="Times New Roman"/>
        </w:rPr>
        <w:t>II</w:t>
      </w:r>
      <w:r>
        <w:rPr>
          <w:rFonts w:ascii="Times New Roman" w:hAnsi="Times New Roman"/>
        </w:rPr>
        <w:t xml:space="preserve">. Планируемые </w:t>
      </w:r>
      <w:r>
        <w:rPr>
          <w:rFonts w:ascii="Times New Roman" w:hAnsi="Times New Roman"/>
        </w:rPr>
        <w:t>результаты  освоения</w:t>
      </w:r>
      <w:r>
        <w:rPr>
          <w:rFonts w:ascii="Times New Roman" w:hAnsi="Times New Roman"/>
        </w:rPr>
        <w:t xml:space="preserve"> учебного предмета, учебного курса (в том числе внеурочной деятельности), учебного модуля</w:t>
      </w:r>
    </w:p>
    <w:p w14:paraId="2D000000">
      <w:pPr>
        <w:ind w:firstLine="567" w:right="180"/>
        <w:rPr>
          <w:rFonts w:ascii="Times New Roman" w:hAnsi="Times New Roman"/>
        </w:rPr>
      </w:pPr>
    </w:p>
    <w:p w14:paraId="2E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F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14:paraId="30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1) гражданского воспитания:</w:t>
      </w:r>
    </w:p>
    <w:p w14:paraId="31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pacing w:val="-3"/>
          <w:sz w:val="28"/>
        </w:rPr>
        <w:t>формированность гражданской позиции обучающегося как активного и ответственного члена российского общества;</w:t>
      </w:r>
    </w:p>
    <w:p w14:paraId="32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14:paraId="33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14:paraId="34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5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14:paraId="36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14:paraId="37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гуманитарной и волонтёрской деятельности.</w:t>
      </w:r>
    </w:p>
    <w:p w14:paraId="38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2) патриотического воспитания:</w:t>
      </w:r>
    </w:p>
    <w:p w14:paraId="39000000">
      <w:pPr>
        <w:numPr>
          <w:ilvl w:val="0"/>
          <w:numId w:val="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3A000000">
      <w:pPr>
        <w:numPr>
          <w:ilvl w:val="0"/>
          <w:numId w:val="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14:paraId="3B000000">
      <w:pPr>
        <w:numPr>
          <w:ilvl w:val="0"/>
          <w:numId w:val="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идейная убеждённость, готовность к служению Отечеству и его защите, ответственность за его судьбу.</w:t>
      </w:r>
    </w:p>
    <w:p w14:paraId="3C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3) духовно-нравственного воспитания:</w:t>
      </w:r>
    </w:p>
    <w:p w14:paraId="3D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духовных ценностей российского народа;</w:t>
      </w:r>
    </w:p>
    <w:p w14:paraId="3E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нравственного сознания, норм этичного поведения;</w:t>
      </w:r>
    </w:p>
    <w:p w14:paraId="3F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0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личного вклада в построение устойчивого будущего;</w:t>
      </w:r>
    </w:p>
    <w:p w14:paraId="41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42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4) эстетического воспитания:</w:t>
      </w:r>
    </w:p>
    <w:p w14:paraId="43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44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45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14:paraId="46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14:paraId="47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5) физического воспитания:</w:t>
      </w:r>
    </w:p>
    <w:p w14:paraId="48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49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14:paraId="4A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14:paraId="4B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6) трудового воспитания:</w:t>
      </w:r>
    </w:p>
    <w:p w14:paraId="4C000000">
      <w:pPr>
        <w:numPr>
          <w:ilvl w:val="0"/>
          <w:numId w:val="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труду, осознание ценности мастерства, трудолюбие;</w:t>
      </w:r>
    </w:p>
    <w:p w14:paraId="4D000000">
      <w:pPr>
        <w:numPr>
          <w:ilvl w:val="0"/>
          <w:numId w:val="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14:paraId="4E000000">
      <w:pPr>
        <w:numPr>
          <w:ilvl w:val="0"/>
          <w:numId w:val="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14:paraId="4F000000">
      <w:pPr>
        <w:numPr>
          <w:ilvl w:val="0"/>
          <w:numId w:val="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и способность к образованию и самообразованию на протяжении всей жизни.</w:t>
      </w:r>
    </w:p>
    <w:p w14:paraId="50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7) экологического воспитания:</w:t>
      </w:r>
    </w:p>
    <w:p w14:paraId="51000000">
      <w:pPr>
        <w:numPr>
          <w:ilvl w:val="0"/>
          <w:numId w:val="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52000000">
      <w:pPr>
        <w:numPr>
          <w:ilvl w:val="0"/>
          <w:numId w:val="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53000000">
      <w:pPr>
        <w:numPr>
          <w:ilvl w:val="0"/>
          <w:numId w:val="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54000000">
      <w:pPr>
        <w:numPr>
          <w:ilvl w:val="0"/>
          <w:numId w:val="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расширение опыта деятельности экологической направленности.</w:t>
      </w:r>
    </w:p>
    <w:p w14:paraId="55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8) ценности научного познания:</w:t>
      </w:r>
    </w:p>
    <w:p w14:paraId="56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57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58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14:paraId="59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сформированность:</w:t>
      </w:r>
    </w:p>
    <w:p w14:paraId="5A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5B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5C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5D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5E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5F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0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действий:</w:t>
      </w:r>
    </w:p>
    <w:p w14:paraId="61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14:paraId="62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14:paraId="63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цели деятельности, задавать параметры и критерии их достижения;</w:t>
      </w:r>
    </w:p>
    <w:p w14:paraId="64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закономерности и противоречия языковых явлений, данных в наблюдении;</w:t>
      </w:r>
    </w:p>
    <w:p w14:paraId="65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66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вносить коррективы в деятельность, оценивать риски и соответствие результатов целям;</w:t>
      </w:r>
    </w:p>
    <w:p w14:paraId="67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14:paraId="68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69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действий:</w:t>
      </w:r>
    </w:p>
    <w:p w14:paraId="6A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6B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6C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14:paraId="6D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14:paraId="6E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14:paraId="6F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0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новым ситуациям, приобретённому опыту;</w:t>
      </w:r>
    </w:p>
    <w:p w14:paraId="71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интегрировать знания из разных предметных областей;</w:t>
      </w:r>
    </w:p>
    <w:p w14:paraId="72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14:paraId="73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выдвигать новые идеи, оригинальные подходы, предлагать альтернативные способы решения проблем.</w:t>
      </w:r>
    </w:p>
    <w:p w14:paraId="74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действий:</w:t>
      </w:r>
    </w:p>
    <w:p w14:paraId="75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6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14:paraId="77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14:paraId="78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9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защиты личной информации, соблюдать требования информационной безопасности.</w:t>
      </w:r>
    </w:p>
    <w:p w14:paraId="7A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умения общения </w:t>
      </w:r>
      <w:r>
        <w:rPr>
          <w:rFonts w:ascii="Times New Roman" w:hAnsi="Times New Roman"/>
          <w:b w:val="0"/>
          <w:i w:val="0"/>
          <w:color w:val="000000"/>
          <w:sz w:val="28"/>
        </w:rPr>
        <w:t>как часть коммуникативных универсальных учебных действий:</w:t>
      </w:r>
    </w:p>
    <w:p w14:paraId="7B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коммуникацию во всех сферах жизни;</w:t>
      </w:r>
    </w:p>
    <w:p w14:paraId="7C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7D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способами общения и взаимодействия; аргументированно вести диалог;</w:t>
      </w:r>
    </w:p>
    <w:p w14:paraId="7E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развёрнуто, логично и корректно с точки зрения культуры речи излагать своё мнение, строить высказывание.</w:t>
      </w:r>
    </w:p>
    <w:p w14:paraId="7F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умения самоорганизации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части регулятивных универсальных учебных действий:</w:t>
      </w:r>
    </w:p>
    <w:p w14:paraId="80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81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82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расширять рамки учебного предмета на основе личных предпочтений;</w:t>
      </w:r>
    </w:p>
    <w:p w14:paraId="83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осознанный выбор, уметь аргументировать его, брать ответственность за результаты выбора;</w:t>
      </w:r>
    </w:p>
    <w:p w14:paraId="84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приобретённый опыт;</w:t>
      </w:r>
    </w:p>
    <w:p w14:paraId="85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86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умения самоконтроля, принятия себя и других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части регулятивных универсальных учебных действий:</w:t>
      </w:r>
    </w:p>
    <w:p w14:paraId="87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88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14:paraId="89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оценивать риски и своевременно принимать решение по их снижению;</w:t>
      </w:r>
    </w:p>
    <w:p w14:paraId="8A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себя, понимая свои недостатки и достоинства;</w:t>
      </w:r>
    </w:p>
    <w:p w14:paraId="8B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мотивы и аргументы других людей при анализе результатов деятельности;</w:t>
      </w:r>
    </w:p>
    <w:p w14:paraId="8C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право и право других на ошибку;</w:t>
      </w:r>
    </w:p>
    <w:p w14:paraId="8D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способность видеть мир с позиции другого человека.</w:t>
      </w:r>
    </w:p>
    <w:p w14:paraId="8E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умения совместной деятельности:</w:t>
      </w:r>
    </w:p>
    <w:p w14:paraId="8F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90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91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92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93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14:paraId="94000000">
      <w:pPr>
        <w:spacing w:after="0" w:before="0" w:line="264" w:lineRule="auto"/>
        <w:ind w:firstLine="0" w:left="120"/>
        <w:jc w:val="both"/>
      </w:pPr>
    </w:p>
    <w:p w14:paraId="95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ПРЕДМЕТНЫЕ РЕЗУЛЬТАТЫ </w:t>
      </w:r>
    </w:p>
    <w:p w14:paraId="96000000">
      <w:pPr>
        <w:spacing w:after="0" w:before="0" w:line="264" w:lineRule="auto"/>
        <w:ind/>
        <w:jc w:val="both"/>
      </w:pPr>
    </w:p>
    <w:p w14:paraId="97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языке как знаковой системе, об основных функциях языка; о лингвистике как науке.</w:t>
      </w:r>
    </w:p>
    <w:p w14:paraId="98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14:paraId="99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pacing w:val="-2"/>
          <w:sz w:val="28"/>
        </w:rPr>
        <w:t>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14:paraId="9A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14:paraId="9B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Текст. Информационно-смысловая переработка текста</w:t>
      </w:r>
    </w:p>
    <w:p w14:paraId="9C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14:paraId="9D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14:paraId="9E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логико-смысловые отношения между предложениями в тексте.</w:t>
      </w:r>
    </w:p>
    <w:p w14:paraId="9F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14:paraId="A0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14:paraId="A1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вторичные тексты (план, тезисы, конспект, реферат, аннотация, отзыв, рецензия и другие).</w:t>
      </w:r>
    </w:p>
    <w:p w14:paraId="A2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текст: устранять логические, фактические, этические, грамматические и речевые ошибки.</w:t>
      </w:r>
      <w:bookmarkEnd w:id="2"/>
    </w:p>
    <w:p w14:paraId="A3000000">
      <w:pPr>
        <w:ind/>
        <w:jc w:val="both"/>
        <w:rPr>
          <w:u w:val="none"/>
        </w:rPr>
      </w:pPr>
    </w:p>
    <w:p w14:paraId="A4000000">
      <w:pPr>
        <w:tabs>
          <w:tab w:leader="none" w:pos="540" w:val="left"/>
          <w:tab w:leader="none" w:pos="4677" w:val="center"/>
        </w:tabs>
        <w:ind/>
        <w:jc w:val="both"/>
        <w:rPr>
          <w:u w:val="none"/>
        </w:rPr>
      </w:pPr>
    </w:p>
    <w:p w14:paraId="A5000000">
      <w:pPr>
        <w:tabs>
          <w:tab w:leader="none" w:pos="540" w:val="left"/>
          <w:tab w:leader="none" w:pos="4677" w:val="center"/>
        </w:tabs>
        <w:ind w:firstLine="0" w:left="720"/>
        <w:jc w:val="center"/>
        <w:rPr>
          <w:u w:val="none"/>
        </w:rPr>
      </w:pPr>
    </w:p>
    <w:p w14:paraId="A6000000">
      <w:pPr>
        <w:tabs>
          <w:tab w:leader="none" w:pos="540" w:val="left"/>
          <w:tab w:leader="none" w:pos="4677" w:val="center"/>
        </w:tabs>
        <w:ind w:firstLine="0" w:left="720"/>
        <w:jc w:val="center"/>
        <w:rPr>
          <w:u w:val="none"/>
        </w:rPr>
      </w:pPr>
    </w:p>
    <w:p w14:paraId="A7000000">
      <w:pPr>
        <w:tabs>
          <w:tab w:leader="none" w:pos="540" w:val="left"/>
          <w:tab w:leader="none" w:pos="4677" w:val="center"/>
        </w:tabs>
        <w:ind w:firstLine="0" w:left="720"/>
        <w:jc w:val="center"/>
        <w:rPr>
          <w:u w:val="none"/>
        </w:rPr>
      </w:pPr>
    </w:p>
    <w:p w14:paraId="A8000000">
      <w:pPr>
        <w:tabs>
          <w:tab w:leader="none" w:pos="540" w:val="left"/>
          <w:tab w:leader="none" w:pos="4677" w:val="center"/>
        </w:tabs>
        <w:ind w:firstLine="0" w:left="720"/>
        <w:jc w:val="center"/>
        <w:rPr>
          <w:u w:val="none"/>
        </w:rPr>
      </w:pPr>
    </w:p>
    <w:p w14:paraId="A9000000">
      <w:pPr>
        <w:tabs>
          <w:tab w:leader="none" w:pos="540" w:val="left"/>
          <w:tab w:leader="none" w:pos="4677" w:val="center"/>
        </w:tabs>
        <w:ind w:firstLine="0" w:left="720"/>
        <w:jc w:val="center"/>
        <w:rPr>
          <w:u w:val="none"/>
        </w:rPr>
      </w:pPr>
    </w:p>
    <w:p w14:paraId="AA000000">
      <w:pPr>
        <w:tabs>
          <w:tab w:leader="none" w:pos="540" w:val="left"/>
          <w:tab w:leader="none" w:pos="4677" w:val="center"/>
        </w:tabs>
        <w:ind w:firstLine="0" w:left="720"/>
        <w:jc w:val="center"/>
        <w:rPr>
          <w:b w:val="1"/>
          <w:u w:val="none"/>
        </w:rPr>
      </w:pPr>
      <w:r>
        <w:rPr>
          <w:u w:val="none"/>
        </w:rPr>
        <w:t>Тематическое</w:t>
      </w:r>
      <w:r>
        <w:rPr>
          <w:u w:val="none"/>
        </w:rPr>
        <w:t xml:space="preserve"> планирование</w:t>
      </w:r>
    </w:p>
    <w:p w14:paraId="AB000000">
      <w:pPr>
        <w:tabs>
          <w:tab w:leader="none" w:pos="540" w:val="left"/>
          <w:tab w:leader="none" w:pos="4677" w:val="center"/>
        </w:tabs>
        <w:ind w:firstLine="0" w:left="426"/>
        <w:rPr>
          <w:b w:val="0"/>
          <w:u w:val="none"/>
        </w:rPr>
      </w:pPr>
      <w:r>
        <w:rPr>
          <w:b w:val="0"/>
          <w:u w:val="none"/>
        </w:rPr>
        <w:t>Введение-1ч.</w:t>
      </w:r>
    </w:p>
    <w:p w14:paraId="AC000000">
      <w:pPr>
        <w:tabs>
          <w:tab w:leader="none" w:pos="540" w:val="left"/>
          <w:tab w:leader="none" w:pos="4677" w:val="center"/>
        </w:tabs>
        <w:ind w:firstLine="0" w:left="426"/>
        <w:rPr>
          <w:b w:val="0"/>
          <w:u w:val="none"/>
        </w:rPr>
      </w:pPr>
      <w:r>
        <w:rPr>
          <w:b w:val="0"/>
          <w:u w:val="none"/>
        </w:rPr>
        <w:t xml:space="preserve">Основные признаки текста -12 ч. </w:t>
      </w:r>
    </w:p>
    <w:p w14:paraId="AD000000">
      <w:pPr>
        <w:tabs>
          <w:tab w:leader="none" w:pos="540" w:val="left"/>
          <w:tab w:leader="none" w:pos="4677" w:val="center"/>
        </w:tabs>
        <w:ind w:firstLine="0" w:left="426"/>
        <w:rPr>
          <w:b w:val="0"/>
          <w:u w:val="none"/>
        </w:rPr>
      </w:pPr>
      <w:r>
        <w:rPr>
          <w:b w:val="0"/>
          <w:u w:val="none"/>
        </w:rPr>
        <w:t>Стилистические возможности языковых средств –8 ч.</w:t>
      </w:r>
    </w:p>
    <w:p w14:paraId="AE000000">
      <w:pPr>
        <w:tabs>
          <w:tab w:leader="none" w:pos="540" w:val="left"/>
          <w:tab w:leader="none" w:pos="4677" w:val="center"/>
        </w:tabs>
        <w:ind w:firstLine="0" w:left="426"/>
        <w:jc w:val="both"/>
        <w:rPr>
          <w:b w:val="0"/>
          <w:u w:val="none"/>
        </w:rPr>
      </w:pPr>
      <w:r>
        <w:rPr>
          <w:b w:val="0"/>
          <w:u w:val="none"/>
        </w:rPr>
        <w:t>Т</w:t>
      </w:r>
      <w:r>
        <w:rPr>
          <w:b w:val="0"/>
          <w:u w:val="none"/>
        </w:rPr>
        <w:t>ипы речи – 2 ч.</w:t>
      </w:r>
    </w:p>
    <w:p w14:paraId="AF000000">
      <w:pPr>
        <w:tabs>
          <w:tab w:leader="none" w:pos="540" w:val="left"/>
          <w:tab w:leader="none" w:pos="4677" w:val="center"/>
        </w:tabs>
        <w:ind w:firstLine="0" w:left="426"/>
        <w:rPr>
          <w:b w:val="1"/>
          <w:u w:val="none"/>
        </w:rPr>
      </w:pPr>
      <w:r>
        <w:rPr>
          <w:b w:val="0"/>
          <w:u w:val="none"/>
        </w:rPr>
        <w:t xml:space="preserve"> Словесные изобразительно-выразительные средства -9 ч Практическая работа – </w:t>
      </w:r>
      <w:r>
        <w:rPr>
          <w:b w:val="1"/>
          <w:u w:val="none"/>
        </w:rPr>
        <w:t>2 ч.</w:t>
      </w:r>
    </w:p>
    <w:p w14:paraId="B0000000">
      <w:pPr>
        <w:rPr>
          <w:u w:val="none"/>
        </w:rPr>
      </w:pPr>
    </w:p>
    <w:p w14:paraId="B1000000">
      <w:pPr>
        <w:ind/>
        <w:jc w:val="both"/>
        <w:rPr>
          <w:u w:val="none"/>
        </w:rPr>
      </w:pPr>
    </w:p>
    <w:sectPr>
      <w:headerReference r:id="rId1" w:type="default"/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hd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0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1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2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5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8"/>
      <w:u w:val="single"/>
    </w:rPr>
  </w:style>
  <w:style w:default="1" w:styleId="Style_1_ch" w:type="character">
    <w:name w:val="Normal"/>
    <w:link w:val="Style_1"/>
    <w:rPr>
      <w:rFonts w:ascii="Times New Roman" w:hAnsi="Times New Roman"/>
      <w:sz w:val="28"/>
      <w:u w:val="single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2024-09-23T06:48:33Z</dcterms:modified>
</cp:coreProperties>
</file>